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FD" w:rsidRDefault="00752176">
      <w:pPr>
        <w:widowControl/>
        <w:shd w:val="clear" w:color="auto" w:fill="F0F4F7"/>
        <w:jc w:val="center"/>
        <w:rPr>
          <w:rFonts w:ascii="微软雅黑" w:eastAsia="微软雅黑" w:hAnsi="微软雅黑" w:cs="微软雅黑"/>
          <w:color w:val="333333"/>
          <w:szCs w:val="21"/>
        </w:rPr>
      </w:pPr>
      <w:r>
        <w:rPr>
          <w:rFonts w:ascii="微软雅黑" w:eastAsia="微软雅黑" w:hAnsi="微软雅黑" w:cs="微软雅黑" w:hint="eastAsia"/>
          <w:b/>
          <w:color w:val="333333"/>
          <w:kern w:val="0"/>
          <w:sz w:val="36"/>
          <w:szCs w:val="36"/>
          <w:shd w:val="clear" w:color="auto" w:fill="F0F4F7"/>
          <w:lang/>
        </w:rPr>
        <w:t>其他类提取公积金</w:t>
      </w:r>
    </w:p>
    <w:tbl>
      <w:tblPr>
        <w:tblW w:w="10770"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tblPr>
      <w:tblGrid>
        <w:gridCol w:w="1624"/>
        <w:gridCol w:w="3003"/>
        <w:gridCol w:w="1289"/>
        <w:gridCol w:w="4854"/>
      </w:tblGrid>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b/>
                <w:color w:val="333333"/>
                <w:kern w:val="0"/>
                <w:sz w:val="24"/>
                <w:lang/>
              </w:rPr>
              <w:t>提取类型</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b/>
                <w:color w:val="333333"/>
                <w:kern w:val="0"/>
                <w:sz w:val="24"/>
                <w:lang/>
              </w:rPr>
              <w:t>所需材料</w:t>
            </w:r>
            <w:r>
              <w:rPr>
                <w:rFonts w:ascii="color:#333333;" w:eastAsia="color:#333333;" w:hAnsi="color:#333333;" w:cs="color:#333333;"/>
                <w:b/>
                <w:kern w:val="0"/>
                <w:sz w:val="24"/>
                <w:lang/>
              </w:rPr>
              <w:t> </w:t>
            </w:r>
            <w:r>
              <w:rPr>
                <w:b/>
                <w:color w:val="333333"/>
                <w:kern w:val="0"/>
                <w:sz w:val="24"/>
                <w:lang/>
              </w:rPr>
              <w:t>（</w:t>
            </w:r>
            <w:r>
              <w:rPr>
                <w:b/>
                <w:color w:val="FF0000"/>
                <w:kern w:val="0"/>
                <w:sz w:val="24"/>
                <w:lang/>
              </w:rPr>
              <w:t>原件</w:t>
            </w:r>
            <w:r>
              <w:rPr>
                <w:b/>
                <w:color w:val="333333"/>
                <w:kern w:val="0"/>
                <w:sz w:val="24"/>
                <w:lang/>
              </w:rPr>
              <w:t>）</w:t>
            </w: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b/>
                <w:color w:val="333333"/>
                <w:kern w:val="0"/>
                <w:sz w:val="24"/>
                <w:lang/>
              </w:rPr>
              <w:t>提取时限</w:t>
            </w:r>
          </w:p>
        </w:tc>
        <w:tc>
          <w:tcPr>
            <w:tcW w:w="480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b/>
                <w:color w:val="333333"/>
                <w:kern w:val="0"/>
                <w:sz w:val="24"/>
                <w:lang/>
              </w:rPr>
              <w:t>提取条件</w:t>
            </w: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离休、退休</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color w:val="333333"/>
                <w:kern w:val="0"/>
                <w:sz w:val="24"/>
                <w:lang/>
              </w:rPr>
              <w:t>1.</w:t>
            </w:r>
            <w:r>
              <w:rPr>
                <w:color w:val="333333"/>
                <w:kern w:val="0"/>
                <w:sz w:val="24"/>
                <w:lang/>
              </w:rPr>
              <w:t>身份证；</w:t>
            </w:r>
            <w:r>
              <w:rPr>
                <w:color w:val="333333"/>
                <w:kern w:val="0"/>
                <w:sz w:val="24"/>
                <w:lang/>
              </w:rPr>
              <w:t> </w:t>
            </w:r>
          </w:p>
          <w:p w:rsidR="000E1BFD" w:rsidRDefault="00752176">
            <w:pPr>
              <w:widowControl/>
              <w:jc w:val="left"/>
            </w:pPr>
            <w:r>
              <w:rPr>
                <w:color w:val="333333"/>
                <w:kern w:val="0"/>
                <w:sz w:val="24"/>
                <w:lang/>
              </w:rPr>
              <w:t>2.</w:t>
            </w:r>
            <w:r>
              <w:rPr>
                <w:color w:val="333333"/>
                <w:kern w:val="0"/>
                <w:sz w:val="24"/>
                <w:lang/>
              </w:rPr>
              <w:t>本人一类账户银行卡。</w:t>
            </w: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rFonts w:ascii="color:#333333;" w:eastAsia="color:#333333;" w:hAnsi="color:#333333;" w:cs="color:#333333;"/>
                <w:kern w:val="0"/>
                <w:sz w:val="24"/>
                <w:lang/>
              </w:rPr>
              <w:t> </w:t>
            </w:r>
          </w:p>
        </w:tc>
        <w:tc>
          <w:tcPr>
            <w:tcW w:w="4800" w:type="dxa"/>
            <w:vMerge w:val="restart"/>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rFonts w:ascii="color:#333333;" w:eastAsia="color:#333333;" w:hAnsi="color:#333333;" w:cs="color:#333333;"/>
                <w:kern w:val="0"/>
                <w:sz w:val="24"/>
                <w:lang/>
              </w:rPr>
              <w:t>1</w:t>
            </w:r>
            <w:r>
              <w:rPr>
                <w:color w:val="333333"/>
                <w:kern w:val="0"/>
                <w:sz w:val="24"/>
                <w:lang/>
              </w:rPr>
              <w:t>、尚有公积金贷款余额的不能办理该项提取。</w:t>
            </w:r>
          </w:p>
          <w:p w:rsidR="000E1BFD" w:rsidRDefault="000E1BFD">
            <w:pPr>
              <w:widowControl/>
              <w:jc w:val="left"/>
            </w:pPr>
          </w:p>
          <w:p w:rsidR="000E1BFD" w:rsidRDefault="00752176">
            <w:pPr>
              <w:widowControl/>
              <w:jc w:val="left"/>
            </w:pPr>
            <w:r>
              <w:rPr>
                <w:rFonts w:ascii="color:#333333;" w:eastAsia="color:#333333;" w:hAnsi="color:#333333;" w:cs="color:#333333;"/>
                <w:kern w:val="0"/>
                <w:sz w:val="24"/>
                <w:lang/>
              </w:rPr>
              <w:t>2</w:t>
            </w:r>
            <w:r>
              <w:rPr>
                <w:color w:val="333333"/>
                <w:kern w:val="0"/>
                <w:sz w:val="24"/>
                <w:lang/>
              </w:rPr>
              <w:t>、职工所在单位已为职工办理个人帐户封存。</w:t>
            </w: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出境定居</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color w:val="333333"/>
                <w:kern w:val="0"/>
                <w:sz w:val="24"/>
                <w:lang/>
              </w:rPr>
              <w:t>1.</w:t>
            </w:r>
            <w:r>
              <w:rPr>
                <w:color w:val="333333"/>
                <w:kern w:val="0"/>
                <w:sz w:val="24"/>
                <w:lang/>
              </w:rPr>
              <w:t>身份证；</w:t>
            </w:r>
            <w:r>
              <w:rPr>
                <w:color w:val="333333"/>
                <w:kern w:val="0"/>
                <w:sz w:val="24"/>
                <w:lang/>
              </w:rPr>
              <w:t> </w:t>
            </w:r>
          </w:p>
          <w:p w:rsidR="000E1BFD" w:rsidRDefault="00752176">
            <w:pPr>
              <w:widowControl/>
              <w:jc w:val="left"/>
              <w:rPr>
                <w:szCs w:val="21"/>
              </w:rPr>
            </w:pPr>
            <w:r>
              <w:rPr>
                <w:rFonts w:ascii="宋体" w:eastAsia="宋体" w:hAnsi="宋体" w:cs="宋体"/>
                <w:color w:val="333333"/>
                <w:kern w:val="0"/>
                <w:szCs w:val="21"/>
                <w:lang/>
              </w:rPr>
              <w:t>2.</w:t>
            </w:r>
            <w:r>
              <w:rPr>
                <w:rFonts w:ascii="宋体" w:eastAsia="宋体" w:hAnsi="宋体" w:cs="宋体"/>
                <w:color w:val="333333"/>
                <w:kern w:val="0"/>
                <w:szCs w:val="21"/>
                <w:lang/>
              </w:rPr>
              <w:t>本人一类账户银行卡</w:t>
            </w:r>
            <w:r>
              <w:rPr>
                <w:rFonts w:ascii="宋体" w:eastAsia="宋体" w:hAnsi="宋体" w:cs="宋体"/>
                <w:kern w:val="0"/>
                <w:szCs w:val="21"/>
                <w:lang/>
              </w:rPr>
              <w:t>；</w:t>
            </w:r>
          </w:p>
          <w:p w:rsidR="000E1BFD" w:rsidRDefault="00752176">
            <w:pPr>
              <w:widowControl/>
              <w:jc w:val="left"/>
            </w:pPr>
            <w:r>
              <w:rPr>
                <w:rFonts w:ascii="color:#333333;" w:eastAsia="color:#333333;" w:hAnsi="color:#333333;" w:cs="color:#333333;"/>
                <w:kern w:val="0"/>
                <w:sz w:val="24"/>
                <w:lang/>
              </w:rPr>
              <w:t>3</w:t>
            </w:r>
            <w:r>
              <w:rPr>
                <w:color w:val="333333"/>
                <w:kern w:val="0"/>
                <w:sz w:val="24"/>
                <w:lang/>
              </w:rPr>
              <w:t>.</w:t>
            </w:r>
            <w:r>
              <w:rPr>
                <w:color w:val="333333"/>
                <w:kern w:val="0"/>
                <w:sz w:val="24"/>
                <w:lang/>
              </w:rPr>
              <w:t>出境定居证明或户籍注销证明。</w:t>
            </w: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rFonts w:ascii="color:#333333;" w:eastAsia="color:#333333;" w:hAnsi="color:#333333;" w:cs="color:#333333;"/>
                <w:kern w:val="0"/>
                <w:sz w:val="24"/>
                <w:lang/>
              </w:rPr>
              <w:t> </w:t>
            </w:r>
          </w:p>
        </w:tc>
        <w:tc>
          <w:tcPr>
            <w:tcW w:w="4800"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0E1BFD">
            <w:pPr>
              <w:rPr>
                <w:rFonts w:ascii="宋体"/>
                <w:szCs w:val="21"/>
              </w:rPr>
            </w:pP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死亡或宣告死亡</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rFonts w:ascii="color:#333333;" w:eastAsia="color:#333333;" w:hAnsi="color:#333333;" w:cs="color:#333333;"/>
                <w:kern w:val="0"/>
                <w:sz w:val="24"/>
                <w:lang/>
              </w:rPr>
              <w:t>1</w:t>
            </w:r>
            <w:r>
              <w:rPr>
                <w:kern w:val="0"/>
                <w:sz w:val="24"/>
                <w:lang/>
              </w:rPr>
              <w:t>.</w:t>
            </w:r>
            <w:r>
              <w:rPr>
                <w:kern w:val="0"/>
                <w:sz w:val="24"/>
                <w:lang/>
              </w:rPr>
              <w:t>继承人或受遗赠人的身份证；</w:t>
            </w:r>
          </w:p>
          <w:p w:rsidR="000E1BFD" w:rsidRDefault="00752176">
            <w:pPr>
              <w:widowControl/>
              <w:jc w:val="left"/>
            </w:pPr>
            <w:r>
              <w:rPr>
                <w:kern w:val="0"/>
                <w:sz w:val="24"/>
                <w:lang/>
              </w:rPr>
              <w:t>2.</w:t>
            </w:r>
            <w:r>
              <w:rPr>
                <w:kern w:val="0"/>
                <w:sz w:val="24"/>
                <w:lang/>
              </w:rPr>
              <w:t>一类账户银行卡；</w:t>
            </w:r>
          </w:p>
          <w:p w:rsidR="000E1BFD" w:rsidRDefault="00752176">
            <w:pPr>
              <w:widowControl/>
              <w:jc w:val="left"/>
            </w:pPr>
            <w:r>
              <w:rPr>
                <w:kern w:val="0"/>
                <w:sz w:val="24"/>
                <w:lang/>
              </w:rPr>
              <w:t>3.</w:t>
            </w:r>
            <w:r>
              <w:rPr>
                <w:kern w:val="0"/>
                <w:sz w:val="24"/>
                <w:lang/>
              </w:rPr>
              <w:t>载明死亡信息的居民户口簿或火化证、判决书等；</w:t>
            </w:r>
          </w:p>
          <w:p w:rsidR="000E1BFD" w:rsidRDefault="00752176">
            <w:pPr>
              <w:widowControl/>
              <w:jc w:val="left"/>
            </w:pPr>
            <w:r>
              <w:rPr>
                <w:kern w:val="0"/>
                <w:sz w:val="24"/>
                <w:lang/>
              </w:rPr>
              <w:t>4.</w:t>
            </w:r>
            <w:r>
              <w:rPr>
                <w:kern w:val="0"/>
                <w:sz w:val="24"/>
                <w:lang/>
              </w:rPr>
              <w:t>公证部门出具的合法继承权或受遗赠权证明件（存在多个继承或受遗赠人须同时到场办理，不能到场的须公证委托其他继承或受遗赠人办理）。</w:t>
            </w: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rFonts w:ascii="color:#333333;" w:eastAsia="color:#333333;" w:hAnsi="color:#333333;" w:cs="color:#333333;"/>
                <w:kern w:val="0"/>
                <w:sz w:val="24"/>
                <w:lang/>
              </w:rPr>
              <w:t> </w:t>
            </w:r>
          </w:p>
        </w:tc>
        <w:tc>
          <w:tcPr>
            <w:tcW w:w="4800"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0E1BFD">
            <w:pPr>
              <w:rPr>
                <w:rFonts w:ascii="宋体"/>
                <w:szCs w:val="21"/>
              </w:rPr>
            </w:pP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完全或部分丧失劳动能力并与单位终止劳动关系未再就业</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color w:val="333333"/>
                <w:kern w:val="0"/>
                <w:sz w:val="24"/>
                <w:lang/>
              </w:rPr>
              <w:t>1.</w:t>
            </w:r>
            <w:r>
              <w:rPr>
                <w:color w:val="333333"/>
                <w:kern w:val="0"/>
                <w:sz w:val="24"/>
                <w:lang/>
              </w:rPr>
              <w:t>身份证；</w:t>
            </w:r>
            <w:r>
              <w:rPr>
                <w:color w:val="333333"/>
                <w:kern w:val="0"/>
                <w:sz w:val="24"/>
                <w:lang/>
              </w:rPr>
              <w:t> </w:t>
            </w:r>
          </w:p>
          <w:p w:rsidR="000E1BFD" w:rsidRDefault="00752176">
            <w:pPr>
              <w:widowControl/>
              <w:jc w:val="left"/>
              <w:rPr>
                <w:szCs w:val="21"/>
              </w:rPr>
            </w:pPr>
            <w:r>
              <w:rPr>
                <w:rFonts w:ascii="宋体" w:eastAsia="宋体" w:hAnsi="宋体" w:cs="宋体"/>
                <w:color w:val="333333"/>
                <w:kern w:val="0"/>
                <w:szCs w:val="21"/>
                <w:lang/>
              </w:rPr>
              <w:t>2.</w:t>
            </w:r>
            <w:r>
              <w:rPr>
                <w:rFonts w:ascii="宋体" w:eastAsia="宋体" w:hAnsi="宋体" w:cs="宋体"/>
                <w:color w:val="333333"/>
                <w:kern w:val="0"/>
                <w:szCs w:val="21"/>
                <w:lang/>
              </w:rPr>
              <w:t>本人一类账户银行卡</w:t>
            </w:r>
            <w:r>
              <w:rPr>
                <w:rFonts w:ascii="宋体" w:eastAsia="宋体" w:hAnsi="宋体" w:cs="宋体"/>
                <w:kern w:val="0"/>
                <w:szCs w:val="21"/>
                <w:lang/>
              </w:rPr>
              <w:t>；</w:t>
            </w:r>
          </w:p>
          <w:p w:rsidR="000E1BFD" w:rsidRDefault="00752176">
            <w:pPr>
              <w:widowControl/>
              <w:jc w:val="left"/>
            </w:pPr>
            <w:r>
              <w:rPr>
                <w:rFonts w:ascii="color:#333333;" w:eastAsia="color:#333333;" w:hAnsi="color:#333333;" w:cs="color:#333333;"/>
                <w:kern w:val="0"/>
                <w:sz w:val="24"/>
                <w:lang/>
              </w:rPr>
              <w:t>3</w:t>
            </w:r>
            <w:r>
              <w:rPr>
                <w:color w:val="333333"/>
                <w:kern w:val="0"/>
                <w:sz w:val="24"/>
                <w:lang/>
              </w:rPr>
              <w:t>.</w:t>
            </w:r>
            <w:r>
              <w:rPr>
                <w:color w:val="333333"/>
                <w:kern w:val="0"/>
                <w:sz w:val="24"/>
                <w:lang/>
              </w:rPr>
              <w:t>残疾人证或者县级以上劳动鉴定部门出具的伤病职工劳动能力鉴定证明文件。</w:t>
            </w: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rFonts w:ascii="color:#333333;" w:eastAsia="color:#333333;" w:hAnsi="color:#333333;" w:cs="color:#333333;"/>
                <w:kern w:val="0"/>
                <w:sz w:val="24"/>
                <w:lang/>
              </w:rPr>
              <w:t> </w:t>
            </w:r>
          </w:p>
        </w:tc>
        <w:tc>
          <w:tcPr>
            <w:tcW w:w="4800"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0E1BFD">
            <w:pPr>
              <w:rPr>
                <w:rFonts w:ascii="宋体"/>
                <w:szCs w:val="21"/>
              </w:rPr>
            </w:pP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判处死刑、无期徒刑或有期徒刑刑期期满时达到法定退休年龄</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color w:val="333333"/>
                <w:kern w:val="0"/>
                <w:sz w:val="24"/>
                <w:lang/>
              </w:rPr>
              <w:t>1.</w:t>
            </w:r>
            <w:r>
              <w:rPr>
                <w:color w:val="333333"/>
                <w:kern w:val="0"/>
                <w:sz w:val="24"/>
                <w:lang/>
              </w:rPr>
              <w:t>身份证；</w:t>
            </w:r>
            <w:r>
              <w:rPr>
                <w:color w:val="333333"/>
                <w:kern w:val="0"/>
                <w:sz w:val="24"/>
                <w:lang/>
              </w:rPr>
              <w:t> </w:t>
            </w:r>
          </w:p>
          <w:p w:rsidR="000E1BFD" w:rsidRDefault="00752176">
            <w:pPr>
              <w:widowControl/>
              <w:jc w:val="left"/>
              <w:rPr>
                <w:szCs w:val="21"/>
              </w:rPr>
            </w:pPr>
            <w:r>
              <w:rPr>
                <w:rFonts w:ascii="宋体" w:eastAsia="宋体" w:hAnsi="宋体" w:cs="宋体"/>
                <w:color w:val="333333"/>
                <w:kern w:val="0"/>
                <w:szCs w:val="21"/>
                <w:lang/>
              </w:rPr>
              <w:t>2.</w:t>
            </w:r>
            <w:r>
              <w:rPr>
                <w:rFonts w:ascii="宋体" w:eastAsia="宋体" w:hAnsi="宋体" w:cs="宋体"/>
                <w:color w:val="333333"/>
                <w:kern w:val="0"/>
                <w:szCs w:val="21"/>
                <w:lang/>
              </w:rPr>
              <w:t>本人一类账户银行卡</w:t>
            </w:r>
            <w:r>
              <w:rPr>
                <w:rFonts w:ascii="宋体" w:eastAsia="宋体" w:hAnsi="宋体" w:cs="宋体"/>
                <w:kern w:val="0"/>
                <w:szCs w:val="21"/>
                <w:lang/>
              </w:rPr>
              <w:t>；</w:t>
            </w:r>
          </w:p>
          <w:p w:rsidR="000E1BFD" w:rsidRDefault="00752176">
            <w:pPr>
              <w:widowControl/>
              <w:jc w:val="left"/>
            </w:pPr>
            <w:r>
              <w:rPr>
                <w:rFonts w:ascii="color:#333333;" w:eastAsia="color:#333333;" w:hAnsi="color:#333333;" w:cs="color:#333333;"/>
                <w:kern w:val="0"/>
                <w:sz w:val="24"/>
                <w:lang/>
              </w:rPr>
              <w:t>3.</w:t>
            </w:r>
            <w:r>
              <w:rPr>
                <w:color w:val="333333"/>
                <w:kern w:val="0"/>
                <w:sz w:val="24"/>
                <w:lang/>
              </w:rPr>
              <w:t>法院判决书。</w:t>
            </w: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0E1BFD">
            <w:pPr>
              <w:widowControl/>
              <w:jc w:val="left"/>
              <w:rPr>
                <w:szCs w:val="21"/>
              </w:rPr>
            </w:pPr>
          </w:p>
        </w:tc>
        <w:tc>
          <w:tcPr>
            <w:tcW w:w="4800"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0E1BFD">
            <w:pPr>
              <w:rPr>
                <w:rFonts w:ascii="宋体"/>
                <w:szCs w:val="21"/>
              </w:rPr>
            </w:pP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与单位终止劳动关系</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color w:val="333333"/>
                <w:kern w:val="0"/>
                <w:sz w:val="24"/>
                <w:lang/>
              </w:rPr>
              <w:t>1.</w:t>
            </w:r>
            <w:r>
              <w:rPr>
                <w:color w:val="333333"/>
                <w:kern w:val="0"/>
                <w:sz w:val="24"/>
                <w:lang/>
              </w:rPr>
              <w:t>身份证；</w:t>
            </w:r>
            <w:r>
              <w:rPr>
                <w:color w:val="333333"/>
                <w:kern w:val="0"/>
                <w:sz w:val="24"/>
                <w:lang/>
              </w:rPr>
              <w:t> </w:t>
            </w:r>
          </w:p>
          <w:p w:rsidR="000E1BFD" w:rsidRDefault="00752176">
            <w:pPr>
              <w:widowControl/>
              <w:jc w:val="left"/>
              <w:rPr>
                <w:szCs w:val="21"/>
              </w:rPr>
            </w:pPr>
            <w:r>
              <w:rPr>
                <w:rFonts w:ascii="宋体" w:eastAsia="宋体" w:hAnsi="宋体" w:cs="宋体"/>
                <w:color w:val="333333"/>
                <w:kern w:val="0"/>
                <w:szCs w:val="21"/>
                <w:lang/>
              </w:rPr>
              <w:t>2.</w:t>
            </w:r>
            <w:r>
              <w:rPr>
                <w:rFonts w:ascii="宋体" w:eastAsia="宋体" w:hAnsi="宋体" w:cs="宋体"/>
                <w:color w:val="333333"/>
                <w:kern w:val="0"/>
                <w:szCs w:val="21"/>
                <w:lang/>
              </w:rPr>
              <w:t>本人一类账户银行卡</w:t>
            </w:r>
            <w:r>
              <w:rPr>
                <w:rFonts w:ascii="宋体" w:eastAsia="宋体" w:hAnsi="宋体" w:cs="宋体"/>
                <w:kern w:val="0"/>
                <w:szCs w:val="21"/>
                <w:lang/>
              </w:rPr>
              <w:t>。</w:t>
            </w:r>
          </w:p>
          <w:p w:rsidR="000E1BFD" w:rsidRDefault="000E1BFD">
            <w:pPr>
              <w:pStyle w:val="a3"/>
              <w:widowControl/>
              <w:spacing w:beforeAutospacing="0" w:afterAutospacing="0"/>
            </w:pP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kern w:val="0"/>
                <w:sz w:val="24"/>
                <w:lang/>
              </w:rPr>
              <w:t> </w:t>
            </w:r>
          </w:p>
        </w:tc>
        <w:tc>
          <w:tcPr>
            <w:tcW w:w="480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kern w:val="0"/>
                <w:sz w:val="24"/>
                <w:lang/>
              </w:rPr>
              <w:t>1</w:t>
            </w:r>
            <w:r>
              <w:rPr>
                <w:kern w:val="0"/>
                <w:sz w:val="24"/>
                <w:lang/>
              </w:rPr>
              <w:t>、</w:t>
            </w:r>
            <w:r>
              <w:rPr>
                <w:color w:val="333333"/>
                <w:kern w:val="0"/>
                <w:sz w:val="24"/>
                <w:lang/>
              </w:rPr>
              <w:t>职工所在单位应已为职工办理个人帐户封存。</w:t>
            </w:r>
          </w:p>
          <w:p w:rsidR="000E1BFD" w:rsidRDefault="000E1BFD">
            <w:pPr>
              <w:widowControl/>
              <w:jc w:val="left"/>
            </w:pPr>
          </w:p>
          <w:p w:rsidR="000E1BFD" w:rsidRDefault="00752176">
            <w:pPr>
              <w:widowControl/>
              <w:jc w:val="left"/>
            </w:pPr>
            <w:r>
              <w:rPr>
                <w:kern w:val="0"/>
                <w:sz w:val="24"/>
                <w:lang/>
              </w:rPr>
              <w:t>2</w:t>
            </w:r>
            <w:r>
              <w:rPr>
                <w:kern w:val="0"/>
                <w:sz w:val="24"/>
                <w:lang/>
              </w:rPr>
              <w:t>、</w:t>
            </w:r>
            <w:r>
              <w:rPr>
                <w:kern w:val="0"/>
                <w:sz w:val="24"/>
                <w:lang/>
              </w:rPr>
              <w:t xml:space="preserve"> </w:t>
            </w:r>
            <w:r>
              <w:rPr>
                <w:kern w:val="0"/>
                <w:sz w:val="24"/>
                <w:lang/>
              </w:rPr>
              <w:t>账户封存期间在异地开立住房公积金账户并稳定缴存半年以上的，办理异地转移接续手续</w:t>
            </w:r>
            <w:r>
              <w:rPr>
                <w:color w:val="FF0000"/>
                <w:kern w:val="0"/>
                <w:sz w:val="24"/>
                <w:u w:val="single"/>
                <w:lang/>
              </w:rPr>
              <w:t>(</w:t>
            </w:r>
            <w:r>
              <w:rPr>
                <w:color w:val="FF0000"/>
                <w:kern w:val="0"/>
                <w:sz w:val="24"/>
                <w:u w:val="single"/>
                <w:lang/>
              </w:rPr>
              <w:t>异地转移接续在转入地公积金中心办理</w:t>
            </w:r>
            <w:r>
              <w:rPr>
                <w:color w:val="FF0000"/>
                <w:kern w:val="0"/>
                <w:sz w:val="24"/>
                <w:u w:val="single"/>
                <w:lang/>
              </w:rPr>
              <w:t>)</w:t>
            </w:r>
            <w:r>
              <w:rPr>
                <w:kern w:val="0"/>
                <w:sz w:val="24"/>
                <w:lang/>
              </w:rPr>
              <w:t>。</w:t>
            </w:r>
            <w:r>
              <w:rPr>
                <w:kern w:val="0"/>
                <w:sz w:val="24"/>
                <w:lang/>
              </w:rPr>
              <w:t> </w:t>
            </w:r>
          </w:p>
          <w:p w:rsidR="000E1BFD" w:rsidRDefault="000E1BFD">
            <w:pPr>
              <w:widowControl/>
              <w:jc w:val="left"/>
            </w:pPr>
          </w:p>
          <w:p w:rsidR="000E1BFD" w:rsidRDefault="00752176">
            <w:pPr>
              <w:widowControl/>
              <w:jc w:val="left"/>
            </w:pPr>
            <w:r>
              <w:rPr>
                <w:kern w:val="0"/>
                <w:sz w:val="24"/>
                <w:lang/>
              </w:rPr>
              <w:t>3</w:t>
            </w:r>
            <w:r>
              <w:rPr>
                <w:kern w:val="0"/>
                <w:sz w:val="24"/>
                <w:lang/>
              </w:rPr>
              <w:t>、账户封存期间未在异地继续缴存的，封存满半年后可以提取。</w:t>
            </w:r>
            <w:r>
              <w:rPr>
                <w:kern w:val="0"/>
                <w:sz w:val="24"/>
                <w:lang/>
              </w:rPr>
              <w:t> </w:t>
            </w:r>
          </w:p>
          <w:p w:rsidR="000E1BFD" w:rsidRDefault="000E1BFD">
            <w:pPr>
              <w:widowControl/>
              <w:jc w:val="left"/>
            </w:pPr>
          </w:p>
          <w:p w:rsidR="000E1BFD" w:rsidRDefault="00752176">
            <w:pPr>
              <w:widowControl/>
              <w:jc w:val="left"/>
            </w:pPr>
            <w:r>
              <w:rPr>
                <w:kern w:val="0"/>
                <w:sz w:val="24"/>
                <w:lang/>
              </w:rPr>
              <w:t>4</w:t>
            </w:r>
            <w:r>
              <w:rPr>
                <w:kern w:val="0"/>
                <w:sz w:val="24"/>
                <w:lang/>
              </w:rPr>
              <w:t>、尚有公积金贷款未结清的不能办理该项提取或转移。</w:t>
            </w: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kern w:val="0"/>
                <w:sz w:val="24"/>
                <w:lang/>
              </w:rPr>
              <w:lastRenderedPageBreak/>
              <w:t>租房提取</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color w:val="333333"/>
                <w:kern w:val="0"/>
                <w:sz w:val="24"/>
                <w:lang/>
              </w:rPr>
              <w:t>1.</w:t>
            </w:r>
            <w:r>
              <w:rPr>
                <w:color w:val="333333"/>
                <w:kern w:val="0"/>
                <w:sz w:val="24"/>
                <w:lang/>
              </w:rPr>
              <w:t>身份证；</w:t>
            </w:r>
            <w:r>
              <w:rPr>
                <w:color w:val="333333"/>
                <w:kern w:val="0"/>
                <w:sz w:val="24"/>
                <w:lang/>
              </w:rPr>
              <w:t> </w:t>
            </w:r>
          </w:p>
          <w:p w:rsidR="000E1BFD" w:rsidRDefault="00752176">
            <w:pPr>
              <w:widowControl/>
              <w:jc w:val="left"/>
              <w:rPr>
                <w:szCs w:val="21"/>
              </w:rPr>
            </w:pPr>
            <w:r>
              <w:rPr>
                <w:rFonts w:ascii="宋体" w:eastAsia="宋体" w:hAnsi="宋体" w:cs="宋体"/>
                <w:color w:val="333333"/>
                <w:kern w:val="0"/>
                <w:szCs w:val="21"/>
                <w:lang/>
              </w:rPr>
              <w:t>2.</w:t>
            </w:r>
            <w:r>
              <w:rPr>
                <w:rFonts w:ascii="宋体" w:eastAsia="宋体" w:hAnsi="宋体" w:cs="宋体"/>
                <w:color w:val="333333"/>
                <w:kern w:val="0"/>
                <w:szCs w:val="21"/>
                <w:lang/>
              </w:rPr>
              <w:t>本人一类账户银行卡</w:t>
            </w:r>
            <w:r>
              <w:rPr>
                <w:rFonts w:ascii="宋体" w:eastAsia="宋体" w:hAnsi="宋体" w:cs="宋体"/>
                <w:kern w:val="0"/>
                <w:szCs w:val="21"/>
                <w:lang/>
              </w:rPr>
              <w:t>；</w:t>
            </w:r>
          </w:p>
          <w:p w:rsidR="000E1BFD" w:rsidRDefault="00752176">
            <w:pPr>
              <w:widowControl/>
              <w:jc w:val="left"/>
            </w:pPr>
            <w:r>
              <w:rPr>
                <w:kern w:val="0"/>
                <w:sz w:val="24"/>
                <w:lang/>
              </w:rPr>
              <w:t>3.</w:t>
            </w:r>
            <w:r>
              <w:rPr>
                <w:kern w:val="0"/>
                <w:sz w:val="24"/>
                <w:lang/>
              </w:rPr>
              <w:t>婚姻关系证明（未婚证明无需提供）；</w:t>
            </w:r>
          </w:p>
          <w:p w:rsidR="000E1BFD" w:rsidRDefault="00752176">
            <w:pPr>
              <w:widowControl/>
              <w:jc w:val="left"/>
            </w:pPr>
            <w:r>
              <w:rPr>
                <w:kern w:val="0"/>
                <w:sz w:val="24"/>
                <w:lang/>
              </w:rPr>
              <w:t>4.</w:t>
            </w:r>
            <w:r>
              <w:rPr>
                <w:kern w:val="0"/>
                <w:sz w:val="24"/>
                <w:lang/>
              </w:rPr>
              <w:t>租住公共租赁住房的提供住房租赁合同和租金发票。</w:t>
            </w: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kern w:val="0"/>
                <w:sz w:val="24"/>
                <w:lang/>
              </w:rPr>
              <w:t>每个自然年度申请</w:t>
            </w:r>
            <w:r>
              <w:rPr>
                <w:kern w:val="0"/>
                <w:sz w:val="24"/>
                <w:lang/>
              </w:rPr>
              <w:t>1</w:t>
            </w:r>
            <w:r>
              <w:rPr>
                <w:kern w:val="0"/>
                <w:sz w:val="24"/>
                <w:lang/>
              </w:rPr>
              <w:t>次提取，且两次申请办理时间间隔</w:t>
            </w:r>
            <w:r>
              <w:rPr>
                <w:kern w:val="0"/>
                <w:sz w:val="24"/>
                <w:lang/>
              </w:rPr>
              <w:t>12</w:t>
            </w:r>
            <w:r>
              <w:rPr>
                <w:kern w:val="0"/>
                <w:sz w:val="24"/>
                <w:lang/>
              </w:rPr>
              <w:t>个月</w:t>
            </w:r>
          </w:p>
        </w:tc>
        <w:tc>
          <w:tcPr>
            <w:tcW w:w="480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kern w:val="0"/>
                <w:sz w:val="24"/>
                <w:lang/>
              </w:rPr>
              <w:t>1</w:t>
            </w:r>
            <w:r>
              <w:rPr>
                <w:kern w:val="0"/>
                <w:sz w:val="24"/>
                <w:lang/>
              </w:rPr>
              <w:t>、由申请人配合中心查证个人住房状况，中心核实无房的，受理租房提取。</w:t>
            </w:r>
          </w:p>
          <w:p w:rsidR="000E1BFD" w:rsidRDefault="000E1BFD">
            <w:pPr>
              <w:widowControl/>
              <w:jc w:val="left"/>
            </w:pPr>
          </w:p>
          <w:p w:rsidR="000E1BFD" w:rsidRDefault="00752176">
            <w:pPr>
              <w:widowControl/>
              <w:jc w:val="left"/>
            </w:pPr>
            <w:r>
              <w:rPr>
                <w:kern w:val="0"/>
                <w:sz w:val="24"/>
                <w:lang/>
              </w:rPr>
              <w:t>2</w:t>
            </w:r>
            <w:r>
              <w:rPr>
                <w:kern w:val="0"/>
                <w:sz w:val="24"/>
                <w:lang/>
              </w:rPr>
              <w:t>、正常连续缴存</w:t>
            </w:r>
            <w:r>
              <w:rPr>
                <w:kern w:val="0"/>
                <w:sz w:val="24"/>
                <w:lang/>
              </w:rPr>
              <w:t>3</w:t>
            </w:r>
            <w:r>
              <w:rPr>
                <w:kern w:val="0"/>
                <w:sz w:val="24"/>
                <w:lang/>
              </w:rPr>
              <w:t>个月后方可办理。</w:t>
            </w:r>
          </w:p>
          <w:p w:rsidR="000E1BFD" w:rsidRDefault="000E1BFD">
            <w:pPr>
              <w:widowControl/>
              <w:jc w:val="left"/>
            </w:pPr>
          </w:p>
          <w:p w:rsidR="000E1BFD" w:rsidRDefault="00752176">
            <w:pPr>
              <w:widowControl/>
              <w:jc w:val="left"/>
            </w:pPr>
            <w:r>
              <w:rPr>
                <w:kern w:val="0"/>
                <w:sz w:val="24"/>
                <w:lang/>
              </w:rPr>
              <w:t>3</w:t>
            </w:r>
            <w:r>
              <w:rPr>
                <w:kern w:val="0"/>
                <w:sz w:val="24"/>
                <w:lang/>
              </w:rPr>
              <w:t>、职工本人及其配偶双方在本市均无自住住房的，可每个自然年度申请提取一次本人及其配偶账户内的住房公积金。</w:t>
            </w:r>
            <w:r>
              <w:rPr>
                <w:kern w:val="0"/>
                <w:sz w:val="24"/>
                <w:lang/>
              </w:rPr>
              <w:t> </w:t>
            </w:r>
          </w:p>
          <w:p w:rsidR="000E1BFD" w:rsidRDefault="000E1BFD">
            <w:pPr>
              <w:widowControl/>
              <w:jc w:val="left"/>
            </w:pPr>
          </w:p>
          <w:p w:rsidR="000E1BFD" w:rsidRDefault="00752176">
            <w:pPr>
              <w:widowControl/>
              <w:jc w:val="left"/>
              <w:rPr>
                <w:szCs w:val="21"/>
              </w:rPr>
            </w:pPr>
            <w:r>
              <w:rPr>
                <w:rFonts w:ascii="宋体" w:eastAsia="宋体" w:hAnsi="宋体" w:cs="宋体"/>
                <w:kern w:val="0"/>
                <w:szCs w:val="21"/>
                <w:lang/>
              </w:rPr>
              <w:t>4</w:t>
            </w:r>
            <w:r>
              <w:rPr>
                <w:rFonts w:ascii="宋体" w:eastAsia="宋体" w:hAnsi="宋体" w:cs="宋体"/>
                <w:kern w:val="0"/>
                <w:szCs w:val="21"/>
                <w:lang/>
              </w:rPr>
              <w:t>、提取金额以十元为单位。职工本人、配偶累计提取总额不超过当年公布的租房提取限额。</w:t>
            </w: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享受城镇居民最低生活保障</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color w:val="333333"/>
                <w:kern w:val="0"/>
                <w:sz w:val="24"/>
                <w:lang/>
              </w:rPr>
              <w:t>1.</w:t>
            </w:r>
            <w:r>
              <w:rPr>
                <w:color w:val="333333"/>
                <w:kern w:val="0"/>
                <w:sz w:val="24"/>
                <w:lang/>
              </w:rPr>
              <w:t>身份证；</w:t>
            </w:r>
            <w:r>
              <w:rPr>
                <w:color w:val="333333"/>
                <w:kern w:val="0"/>
                <w:sz w:val="24"/>
                <w:lang/>
              </w:rPr>
              <w:t> </w:t>
            </w:r>
          </w:p>
          <w:p w:rsidR="000E1BFD" w:rsidRDefault="00752176">
            <w:pPr>
              <w:widowControl/>
              <w:jc w:val="left"/>
              <w:rPr>
                <w:szCs w:val="21"/>
              </w:rPr>
            </w:pPr>
            <w:r>
              <w:rPr>
                <w:rFonts w:ascii="宋体" w:eastAsia="宋体" w:hAnsi="宋体" w:cs="宋体"/>
                <w:color w:val="333333"/>
                <w:kern w:val="0"/>
                <w:szCs w:val="21"/>
                <w:lang/>
              </w:rPr>
              <w:t>2.</w:t>
            </w:r>
            <w:r>
              <w:rPr>
                <w:rFonts w:ascii="宋体" w:eastAsia="宋体" w:hAnsi="宋体" w:cs="宋体"/>
                <w:color w:val="333333"/>
                <w:kern w:val="0"/>
                <w:szCs w:val="21"/>
                <w:lang/>
              </w:rPr>
              <w:t>本人一类账户银行卡</w:t>
            </w:r>
            <w:r>
              <w:rPr>
                <w:rFonts w:ascii="宋体" w:eastAsia="宋体" w:hAnsi="宋体" w:cs="宋体"/>
                <w:kern w:val="0"/>
                <w:szCs w:val="21"/>
                <w:lang/>
              </w:rPr>
              <w:t>；</w:t>
            </w:r>
            <w:r>
              <w:rPr>
                <w:rFonts w:ascii="color:#333333;" w:eastAsia="color:#333333;" w:hAnsi="color:#333333;" w:cs="color:#333333;"/>
                <w:kern w:val="0"/>
                <w:szCs w:val="21"/>
                <w:lang/>
              </w:rPr>
              <w:br/>
              <w:t>3.</w:t>
            </w:r>
            <w:r>
              <w:rPr>
                <w:rFonts w:ascii="宋体" w:eastAsia="宋体" w:hAnsi="宋体" w:cs="宋体"/>
                <w:color w:val="333333"/>
                <w:kern w:val="0"/>
                <w:szCs w:val="21"/>
                <w:lang/>
              </w:rPr>
              <w:t>最低生活保障金领取证或民政部门出具的当年低保家庭在保情况确认表。</w:t>
            </w: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发生当年办理一次</w:t>
            </w:r>
          </w:p>
        </w:tc>
        <w:tc>
          <w:tcPr>
            <w:tcW w:w="480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rFonts w:ascii="color:#333333;" w:eastAsia="color:#333333;" w:hAnsi="color:#333333;" w:cs="color:#333333;"/>
                <w:kern w:val="0"/>
                <w:sz w:val="24"/>
                <w:lang/>
              </w:rPr>
              <w:t>1</w:t>
            </w:r>
            <w:r>
              <w:rPr>
                <w:color w:val="333333"/>
                <w:kern w:val="0"/>
                <w:sz w:val="24"/>
                <w:lang/>
              </w:rPr>
              <w:t>、提取金额以十元为单位。</w:t>
            </w:r>
          </w:p>
          <w:p w:rsidR="000E1BFD" w:rsidRDefault="00752176">
            <w:pPr>
              <w:widowControl/>
              <w:jc w:val="left"/>
            </w:pPr>
            <w:r>
              <w:rPr>
                <w:rFonts w:ascii="color:#333333;" w:eastAsia="color:#333333;" w:hAnsi="color:#333333;" w:cs="color:#333333;"/>
                <w:kern w:val="0"/>
                <w:sz w:val="24"/>
                <w:lang/>
              </w:rPr>
              <w:t> </w:t>
            </w:r>
            <w:r>
              <w:rPr>
                <w:rFonts w:ascii="color:#333333;" w:eastAsia="color:#333333;" w:hAnsi="color:#333333;" w:cs="color:#333333;"/>
                <w:kern w:val="0"/>
                <w:sz w:val="24"/>
                <w:lang/>
              </w:rPr>
              <w:br/>
              <w:t>2</w:t>
            </w:r>
            <w:r>
              <w:rPr>
                <w:color w:val="333333"/>
                <w:kern w:val="0"/>
                <w:sz w:val="24"/>
                <w:lang/>
              </w:rPr>
              <w:t>、提取配偶公积金余额的，须同时申请办理，提供配偶的身份证及结婚证。</w:t>
            </w:r>
          </w:p>
        </w:tc>
      </w:tr>
      <w:tr w:rsidR="000E1BFD">
        <w:trPr>
          <w:tblCellSpacing w:w="0" w:type="dxa"/>
          <w:jc w:val="center"/>
        </w:trPr>
        <w:tc>
          <w:tcPr>
            <w:tcW w:w="160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重大疾病</w:t>
            </w:r>
          </w:p>
        </w:tc>
        <w:tc>
          <w:tcPr>
            <w:tcW w:w="2970"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color w:val="333333"/>
                <w:kern w:val="0"/>
                <w:sz w:val="24"/>
                <w:lang/>
              </w:rPr>
              <w:t>1.</w:t>
            </w:r>
            <w:r>
              <w:rPr>
                <w:color w:val="333333"/>
                <w:kern w:val="0"/>
                <w:sz w:val="24"/>
                <w:lang/>
              </w:rPr>
              <w:t>身份证；</w:t>
            </w:r>
            <w:r>
              <w:rPr>
                <w:color w:val="333333"/>
                <w:kern w:val="0"/>
                <w:sz w:val="24"/>
                <w:lang/>
              </w:rPr>
              <w:t> </w:t>
            </w:r>
          </w:p>
          <w:p w:rsidR="000E1BFD" w:rsidRDefault="00752176">
            <w:pPr>
              <w:widowControl/>
              <w:jc w:val="left"/>
              <w:rPr>
                <w:szCs w:val="21"/>
              </w:rPr>
            </w:pPr>
            <w:r>
              <w:rPr>
                <w:rFonts w:ascii="宋体" w:eastAsia="宋体" w:hAnsi="宋体" w:cs="宋体"/>
                <w:color w:val="333333"/>
                <w:kern w:val="0"/>
                <w:szCs w:val="21"/>
                <w:lang/>
              </w:rPr>
              <w:t>2.</w:t>
            </w:r>
            <w:r>
              <w:rPr>
                <w:rFonts w:ascii="宋体" w:eastAsia="宋体" w:hAnsi="宋体" w:cs="宋体"/>
                <w:color w:val="333333"/>
                <w:kern w:val="0"/>
                <w:szCs w:val="21"/>
                <w:lang/>
              </w:rPr>
              <w:t>本人一类账户银行卡</w:t>
            </w:r>
            <w:r>
              <w:rPr>
                <w:rFonts w:ascii="宋体" w:eastAsia="宋体" w:hAnsi="宋体" w:cs="宋体"/>
                <w:kern w:val="0"/>
                <w:szCs w:val="21"/>
                <w:lang/>
              </w:rPr>
              <w:t>；</w:t>
            </w:r>
            <w:r>
              <w:rPr>
                <w:rFonts w:ascii="color:#333333;" w:eastAsia="color:#333333;" w:hAnsi="color:#333333;" w:cs="color:#333333;"/>
                <w:kern w:val="0"/>
                <w:szCs w:val="21"/>
                <w:lang/>
              </w:rPr>
              <w:br/>
              <w:t>3</w:t>
            </w:r>
            <w:r>
              <w:rPr>
                <w:rFonts w:ascii="宋体" w:eastAsia="宋体" w:hAnsi="宋体" w:cs="宋体"/>
                <w:color w:val="333333"/>
                <w:kern w:val="0"/>
                <w:szCs w:val="21"/>
                <w:lang/>
              </w:rPr>
              <w:t>.</w:t>
            </w:r>
            <w:r>
              <w:rPr>
                <w:rFonts w:ascii="宋体" w:eastAsia="宋体" w:hAnsi="宋体" w:cs="宋体"/>
                <w:color w:val="333333"/>
                <w:kern w:val="0"/>
                <w:szCs w:val="21"/>
                <w:lang/>
              </w:rPr>
              <w:t>县级以上（含县级）医院出具的诊断意见书或出院小结；</w:t>
            </w:r>
            <w:r>
              <w:rPr>
                <w:rFonts w:ascii="color:#333333;" w:eastAsia="color:#333333;" w:hAnsi="color:#333333;" w:cs="color:#333333;"/>
                <w:kern w:val="0"/>
                <w:szCs w:val="21"/>
                <w:lang/>
              </w:rPr>
              <w:t> </w:t>
            </w:r>
            <w:r>
              <w:rPr>
                <w:rFonts w:ascii="color:#333333;" w:eastAsia="color:#333333;" w:hAnsi="color:#333333;" w:cs="color:#333333;"/>
                <w:kern w:val="0"/>
                <w:szCs w:val="21"/>
                <w:lang/>
              </w:rPr>
              <w:br/>
              <w:t>4.</w:t>
            </w:r>
            <w:r>
              <w:rPr>
                <w:rFonts w:ascii="宋体" w:eastAsia="宋体" w:hAnsi="宋体" w:cs="宋体"/>
                <w:kern w:val="0"/>
                <w:szCs w:val="21"/>
                <w:lang/>
              </w:rPr>
              <w:t>医院出具的发票或相关费用凭证。</w:t>
            </w:r>
          </w:p>
          <w:p w:rsidR="000E1BFD" w:rsidRDefault="000E1BFD">
            <w:pPr>
              <w:pStyle w:val="a3"/>
              <w:widowControl/>
              <w:spacing w:beforeAutospacing="0" w:afterAutospacing="0"/>
            </w:pPr>
          </w:p>
        </w:tc>
        <w:tc>
          <w:tcPr>
            <w:tcW w:w="1275" w:type="dxa"/>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发生当年办理一次</w:t>
            </w:r>
          </w:p>
        </w:tc>
        <w:tc>
          <w:tcPr>
            <w:tcW w:w="4800" w:type="dxa"/>
            <w:tcBorders>
              <w:top w:val="inset" w:sz="8" w:space="0" w:color="3399FF"/>
              <w:left w:val="inset" w:sz="8" w:space="0" w:color="3399FF"/>
              <w:bottom w:val="inset" w:sz="8" w:space="0" w:color="3399FF"/>
              <w:right w:val="inset" w:sz="8" w:space="0" w:color="3399FF"/>
            </w:tcBorders>
            <w:shd w:val="clear" w:color="auto" w:fill="auto"/>
          </w:tcPr>
          <w:p w:rsidR="000E1BFD" w:rsidRDefault="00752176">
            <w:pPr>
              <w:widowControl/>
              <w:jc w:val="left"/>
            </w:pPr>
            <w:r>
              <w:rPr>
                <w:rFonts w:ascii="color:#333333;" w:eastAsia="color:#333333;" w:hAnsi="color:#333333;" w:cs="color:#333333;"/>
                <w:kern w:val="0"/>
                <w:sz w:val="24"/>
                <w:lang/>
              </w:rPr>
              <w:t>1</w:t>
            </w:r>
            <w:r>
              <w:rPr>
                <w:color w:val="333333"/>
                <w:kern w:val="0"/>
                <w:sz w:val="24"/>
                <w:lang/>
              </w:rPr>
              <w:t>、本人、配偶或者子女患九种重大疾病可以提出申请，包括：慢性肾衰竭（尿毒症）、恶性肿瘤、再生障碍性贫血、慢性重型肝炎、心脏瓣膜置换手术、冠状动脉旁路手术、颅内肿瘤开颅摘除手术、重大器官移植手术、主动脉手术。</w:t>
            </w:r>
          </w:p>
          <w:p w:rsidR="000E1BFD" w:rsidRDefault="00752176">
            <w:pPr>
              <w:widowControl/>
              <w:jc w:val="left"/>
            </w:pPr>
            <w:r>
              <w:rPr>
                <w:rFonts w:ascii="color:#333333;" w:eastAsia="color:#333333;" w:hAnsi="color:#333333;" w:cs="color:#333333;"/>
                <w:kern w:val="0"/>
                <w:sz w:val="24"/>
                <w:lang/>
              </w:rPr>
              <w:t> </w:t>
            </w:r>
            <w:r>
              <w:rPr>
                <w:rFonts w:ascii="color:#333333;" w:eastAsia="color:#333333;" w:hAnsi="color:#333333;" w:cs="color:#333333;"/>
                <w:kern w:val="0"/>
                <w:sz w:val="24"/>
                <w:lang/>
              </w:rPr>
              <w:br/>
              <w:t>2</w:t>
            </w:r>
            <w:r>
              <w:rPr>
                <w:color w:val="333333"/>
                <w:kern w:val="0"/>
                <w:sz w:val="24"/>
                <w:lang/>
              </w:rPr>
              <w:t>、提取金额以元为单位。申请提取成功后每年提取一次公积金账户内余额，且每次提取间隔不少于</w:t>
            </w:r>
            <w:r>
              <w:rPr>
                <w:color w:val="333333"/>
                <w:kern w:val="0"/>
                <w:sz w:val="24"/>
                <w:lang/>
              </w:rPr>
              <w:t>12</w:t>
            </w:r>
            <w:r>
              <w:rPr>
                <w:color w:val="333333"/>
                <w:kern w:val="0"/>
                <w:sz w:val="24"/>
                <w:lang/>
              </w:rPr>
              <w:t>个月。</w:t>
            </w:r>
          </w:p>
          <w:p w:rsidR="000E1BFD" w:rsidRDefault="000E1BFD">
            <w:pPr>
              <w:widowControl/>
              <w:jc w:val="left"/>
            </w:pPr>
          </w:p>
          <w:p w:rsidR="000E1BFD" w:rsidRDefault="00752176">
            <w:pPr>
              <w:widowControl/>
              <w:jc w:val="left"/>
            </w:pPr>
            <w:r>
              <w:rPr>
                <w:rFonts w:ascii="color:#333333;" w:eastAsia="color:#333333;" w:hAnsi="color:#333333;" w:cs="color:#333333;"/>
                <w:kern w:val="0"/>
                <w:sz w:val="24"/>
                <w:lang/>
              </w:rPr>
              <w:t>3</w:t>
            </w:r>
            <w:r>
              <w:rPr>
                <w:color w:val="333333"/>
                <w:kern w:val="0"/>
                <w:sz w:val="24"/>
                <w:lang/>
              </w:rPr>
              <w:t>、提取配偶公积金余额的，须同时申请办理，提供配偶身份证及结婚证。</w:t>
            </w:r>
            <w:r>
              <w:rPr>
                <w:rFonts w:ascii="color:#333333;" w:eastAsia="color:#333333;" w:hAnsi="color:#333333;" w:cs="color:#333333;"/>
                <w:kern w:val="0"/>
                <w:sz w:val="24"/>
                <w:lang/>
              </w:rPr>
              <w:t> </w:t>
            </w:r>
          </w:p>
        </w:tc>
      </w:tr>
      <w:tr w:rsidR="000E1BFD">
        <w:trPr>
          <w:tblCellSpacing w:w="0" w:type="dxa"/>
          <w:jc w:val="center"/>
        </w:trPr>
        <w:tc>
          <w:tcPr>
            <w:tcW w:w="1605" w:type="dxa"/>
            <w:vMerge w:val="restart"/>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center"/>
            </w:pPr>
            <w:r>
              <w:rPr>
                <w:color w:val="333333"/>
                <w:kern w:val="0"/>
                <w:sz w:val="24"/>
                <w:lang/>
              </w:rPr>
              <w:t>备注</w:t>
            </w:r>
          </w:p>
        </w:tc>
        <w:tc>
          <w:tcPr>
            <w:tcW w:w="9045" w:type="dxa"/>
            <w:gridSpan w:val="3"/>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b/>
                <w:color w:val="333333"/>
                <w:kern w:val="0"/>
                <w:sz w:val="24"/>
                <w:lang/>
              </w:rPr>
              <w:t>为防止虚假套取住房公积金的行为，对以下情形不予提取住房公积金：</w:t>
            </w:r>
            <w:r>
              <w:rPr>
                <w:rFonts w:ascii="color:#333333;" w:eastAsia="color:#333333;" w:hAnsi="color:#333333;" w:cs="color:#333333;"/>
                <w:b/>
                <w:kern w:val="0"/>
                <w:sz w:val="24"/>
                <w:lang/>
              </w:rPr>
              <w:br/>
            </w:r>
            <w:r>
              <w:rPr>
                <w:rFonts w:ascii="color:#333333;" w:eastAsia="color:#333333;" w:hAnsi="color:#333333;" w:cs="color:#333333;"/>
                <w:kern w:val="0"/>
                <w:sz w:val="24"/>
                <w:lang/>
              </w:rPr>
              <w:t>       </w:t>
            </w:r>
            <w:r>
              <w:rPr>
                <w:color w:val="333333"/>
                <w:kern w:val="0"/>
                <w:sz w:val="24"/>
                <w:lang/>
              </w:rPr>
              <w:t>（一）原套取的住房公积金尚未全额退回的；</w:t>
            </w:r>
            <w:r>
              <w:rPr>
                <w:rFonts w:ascii="color:#333333;" w:eastAsia="color:#333333;" w:hAnsi="color:#333333;" w:cs="color:#333333;"/>
                <w:kern w:val="0"/>
                <w:sz w:val="24"/>
                <w:lang/>
              </w:rPr>
              <w:br/>
              <w:t>       </w:t>
            </w:r>
            <w:r>
              <w:rPr>
                <w:color w:val="333333"/>
                <w:kern w:val="0"/>
                <w:sz w:val="24"/>
                <w:lang/>
              </w:rPr>
              <w:t>（二）经调查，提取行为不真实的。</w:t>
            </w:r>
          </w:p>
          <w:p w:rsidR="000E1BFD" w:rsidRDefault="00752176">
            <w:pPr>
              <w:widowControl/>
              <w:jc w:val="left"/>
            </w:pPr>
            <w:r>
              <w:rPr>
                <w:color w:val="E53333"/>
                <w:kern w:val="0"/>
                <w:sz w:val="24"/>
                <w:shd w:val="clear" w:color="auto" w:fill="F0F4F7"/>
                <w:lang/>
              </w:rPr>
              <w:lastRenderedPageBreak/>
              <w:t xml:space="preserve">   </w:t>
            </w:r>
            <w:r>
              <w:rPr>
                <w:color w:val="E53333"/>
                <w:kern w:val="0"/>
                <w:sz w:val="24"/>
                <w:shd w:val="clear" w:color="auto" w:fill="F0F4F7"/>
                <w:lang/>
              </w:rPr>
              <w:t>住房公积金贷款尚未结清的，职工本人、配偶以及其他共有产权人提取的住房公积金仅能用于偿还住房公积金贷款本息（含组合贷款中的商业贷款本息）。</w:t>
            </w:r>
          </w:p>
          <w:p w:rsidR="000E1BFD" w:rsidRDefault="000E1BFD">
            <w:pPr>
              <w:widowControl/>
              <w:jc w:val="left"/>
            </w:pPr>
          </w:p>
        </w:tc>
      </w:tr>
      <w:tr w:rsidR="000E1BFD">
        <w:trPr>
          <w:tblCellSpacing w:w="0" w:type="dxa"/>
          <w:jc w:val="center"/>
        </w:trPr>
        <w:tc>
          <w:tcPr>
            <w:tcW w:w="1605" w:type="dxa"/>
            <w:vMerge/>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0E1BFD">
            <w:pPr>
              <w:rPr>
                <w:rFonts w:ascii="宋体"/>
                <w:szCs w:val="21"/>
              </w:rPr>
            </w:pPr>
          </w:p>
        </w:tc>
        <w:tc>
          <w:tcPr>
            <w:tcW w:w="9045" w:type="dxa"/>
            <w:gridSpan w:val="3"/>
            <w:tcBorders>
              <w:top w:val="inset" w:sz="8" w:space="0" w:color="3399FF"/>
              <w:left w:val="inset" w:sz="8" w:space="0" w:color="3399FF"/>
              <w:bottom w:val="inset" w:sz="8" w:space="0" w:color="3399FF"/>
              <w:right w:val="inset" w:sz="8" w:space="0" w:color="3399FF"/>
            </w:tcBorders>
            <w:shd w:val="clear" w:color="auto" w:fill="auto"/>
            <w:vAlign w:val="center"/>
          </w:tcPr>
          <w:p w:rsidR="000E1BFD" w:rsidRDefault="00752176">
            <w:pPr>
              <w:widowControl/>
              <w:jc w:val="left"/>
            </w:pPr>
            <w:r>
              <w:rPr>
                <w:b/>
                <w:color w:val="333333"/>
                <w:kern w:val="0"/>
                <w:sz w:val="24"/>
                <w:lang/>
              </w:rPr>
              <w:t>代办说明：</w:t>
            </w:r>
            <w:r>
              <w:rPr>
                <w:rFonts w:ascii="color:#333333;" w:eastAsia="color:#333333;" w:hAnsi="color:#333333;" w:cs="color:#333333;"/>
                <w:kern w:val="0"/>
                <w:sz w:val="24"/>
                <w:lang/>
              </w:rPr>
              <w:br/>
            </w:r>
            <w:r>
              <w:rPr>
                <w:rFonts w:ascii="color:#333333;" w:eastAsia="color:#333333;" w:hAnsi="color:#333333;" w:cs="color:#333333;"/>
                <w:kern w:val="0"/>
                <w:sz w:val="24"/>
                <w:lang/>
              </w:rPr>
              <w:t>       </w:t>
            </w:r>
            <w:r>
              <w:rPr>
                <w:color w:val="333333"/>
                <w:kern w:val="0"/>
                <w:sz w:val="24"/>
                <w:lang/>
              </w:rPr>
              <w:t>职工本人因故不能到场办理提取业务的，可按以下情形由职工委托他人代办：</w:t>
            </w:r>
            <w:r>
              <w:rPr>
                <w:rFonts w:ascii="color:#333333;" w:eastAsia="color:#333333;" w:hAnsi="color:#333333;" w:cs="color:#333333;"/>
                <w:kern w:val="0"/>
                <w:sz w:val="24"/>
                <w:lang/>
              </w:rPr>
              <w:t>1</w:t>
            </w:r>
            <w:r>
              <w:rPr>
                <w:color w:val="333333"/>
                <w:kern w:val="0"/>
                <w:sz w:val="24"/>
                <w:lang/>
              </w:rPr>
              <w:t>、委托配偶或直系亲属代办；</w:t>
            </w:r>
            <w:r>
              <w:rPr>
                <w:rFonts w:ascii="color:#333333;" w:eastAsia="color:#333333;" w:hAnsi="color:#333333;" w:cs="color:#333333;"/>
                <w:kern w:val="0"/>
                <w:sz w:val="24"/>
                <w:lang/>
              </w:rPr>
              <w:t>2</w:t>
            </w:r>
            <w:r>
              <w:rPr>
                <w:color w:val="333333"/>
                <w:kern w:val="0"/>
                <w:sz w:val="24"/>
                <w:lang/>
              </w:rPr>
              <w:t>、死亡或宣告死亡提取由继承人或受遗赠人办理。代办人须提供身份证和与委托职工的关系证明。</w:t>
            </w:r>
          </w:p>
        </w:tc>
      </w:tr>
    </w:tbl>
    <w:p w:rsidR="000E1BFD" w:rsidRDefault="000E1BFD">
      <w:bookmarkStart w:id="0" w:name="_GoBack"/>
      <w:bookmarkEnd w:id="0"/>
    </w:p>
    <w:sectPr w:rsidR="000E1BFD" w:rsidSect="000E1B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176" w:rsidRDefault="00752176" w:rsidP="001B5B82">
      <w:r>
        <w:separator/>
      </w:r>
    </w:p>
  </w:endnote>
  <w:endnote w:type="continuationSeparator" w:id="1">
    <w:p w:rsidR="00752176" w:rsidRDefault="00752176" w:rsidP="001B5B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lor:#333333;">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176" w:rsidRDefault="00752176" w:rsidP="001B5B82">
      <w:r>
        <w:separator/>
      </w:r>
    </w:p>
  </w:footnote>
  <w:footnote w:type="continuationSeparator" w:id="1">
    <w:p w:rsidR="00752176" w:rsidRDefault="00752176" w:rsidP="001B5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AC8445D"/>
    <w:rsid w:val="000E1BFD"/>
    <w:rsid w:val="001B5B82"/>
    <w:rsid w:val="00752176"/>
    <w:rsid w:val="7AC844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BF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E1BFD"/>
    <w:pPr>
      <w:spacing w:beforeAutospacing="1" w:afterAutospacing="1"/>
      <w:jc w:val="left"/>
    </w:pPr>
    <w:rPr>
      <w:rFonts w:cs="Times New Roman"/>
      <w:kern w:val="0"/>
      <w:sz w:val="24"/>
    </w:rPr>
  </w:style>
  <w:style w:type="paragraph" w:styleId="a4">
    <w:name w:val="header"/>
    <w:basedOn w:val="a"/>
    <w:link w:val="Char"/>
    <w:rsid w:val="001B5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B5B82"/>
    <w:rPr>
      <w:rFonts w:asciiTheme="minorHAnsi" w:eastAsiaTheme="minorEastAsia" w:hAnsiTheme="minorHAnsi" w:cstheme="minorBidi"/>
      <w:kern w:val="2"/>
      <w:sz w:val="18"/>
      <w:szCs w:val="18"/>
    </w:rPr>
  </w:style>
  <w:style w:type="paragraph" w:styleId="a5">
    <w:name w:val="footer"/>
    <w:basedOn w:val="a"/>
    <w:link w:val="Char0"/>
    <w:rsid w:val="001B5B82"/>
    <w:pPr>
      <w:tabs>
        <w:tab w:val="center" w:pos="4153"/>
        <w:tab w:val="right" w:pos="8306"/>
      </w:tabs>
      <w:snapToGrid w:val="0"/>
      <w:jc w:val="left"/>
    </w:pPr>
    <w:rPr>
      <w:sz w:val="18"/>
      <w:szCs w:val="18"/>
    </w:rPr>
  </w:style>
  <w:style w:type="character" w:customStyle="1" w:styleId="Char0">
    <w:name w:val="页脚 Char"/>
    <w:basedOn w:val="a0"/>
    <w:link w:val="a5"/>
    <w:rsid w:val="001B5B8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王俊</dc:creator>
  <cp:lastModifiedBy>刘玉</cp:lastModifiedBy>
  <cp:revision>2</cp:revision>
  <dcterms:created xsi:type="dcterms:W3CDTF">2020-04-02T07:46:00Z</dcterms:created>
  <dcterms:modified xsi:type="dcterms:W3CDTF">2020-04-02T07:46:00Z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